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textAlignment w:val="auto"/>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pPr>
      <w:r>
        <w:rPr>
          <w:rFonts w:hint="default" w:ascii="Times New Roman" w:hAnsi="Times New Roman" w:cs="Times New Roman"/>
          <w:lang w:val="en-US" w:eastAsia="zh-CN"/>
        </w:rPr>
        <w:t xml:space="preserve">     </w:t>
      </w:r>
      <w:bookmarkStart w:id="0" w:name="OLE_LINK1"/>
      <w:r>
        <w:rPr>
          <w:rFonts w:hint="default" w:ascii="Times New Roman" w:hAnsi="Times New Roman" w:eastAsia="方正小标宋简体" w:cs="Times New Roman"/>
          <w:b/>
          <w:bCs/>
          <w:sz w:val="44"/>
          <w:szCs w:val="44"/>
          <w:lang w:val="en-US" w:eastAsia="zh-CN"/>
        </w:rPr>
        <w:t>仪陇中学电梯维修保养方案及报价询价单</w:t>
      </w:r>
    </w:p>
    <w:bookmarkEnd w:id="0"/>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黑体" w:cs="Times New Roman"/>
          <w:b/>
          <w:bCs/>
          <w:sz w:val="32"/>
          <w:szCs w:val="32"/>
          <w:vertAlign w:val="baseline"/>
          <w:lang w:val="en-US" w:eastAsia="zh-CN"/>
        </w:rPr>
        <w:t>一、项目名称：</w:t>
      </w:r>
      <w:r>
        <w:rPr>
          <w:rFonts w:hint="default" w:ascii="Times New Roman" w:hAnsi="Times New Roman" w:eastAsia="方正仿宋简体" w:cs="Times New Roman"/>
          <w:b/>
          <w:bCs/>
          <w:sz w:val="32"/>
          <w:szCs w:val="32"/>
          <w:lang w:val="en-US" w:eastAsia="zh-CN"/>
        </w:rPr>
        <w:t xml:space="preserve"> </w:t>
      </w:r>
      <w:r>
        <w:rPr>
          <w:rFonts w:hint="default" w:ascii="Times New Roman" w:hAnsi="Times New Roman" w:eastAsia="方正仿宋简体" w:cs="Times New Roman"/>
          <w:b/>
          <w:bCs/>
          <w:color w:val="000000" w:themeColor="text1"/>
          <w:sz w:val="32"/>
          <w:szCs w:val="32"/>
          <w:highlight w:val="none"/>
          <w:lang w:val="en-US" w:eastAsia="zh-CN"/>
          <w14:textFill>
            <w14:solidFill>
              <w14:schemeClr w14:val="tx1"/>
            </w14:solidFill>
          </w14:textFill>
        </w:rPr>
        <w:t>仪陇中学新政校区电梯维修保养</w:t>
      </w:r>
      <w:r>
        <w:rPr>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服务采购项目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黑体" w:cs="Times New Roman"/>
          <w:b/>
          <w:bCs/>
          <w:sz w:val="32"/>
          <w:szCs w:val="32"/>
          <w:vertAlign w:val="baseline"/>
          <w:lang w:val="en-US" w:eastAsia="zh-CN"/>
        </w:rPr>
        <w:t>二、项目预算：</w:t>
      </w:r>
      <w:r>
        <w:rPr>
          <w:rFonts w:hint="default" w:ascii="Times New Roman" w:hAnsi="Times New Roman" w:eastAsia="方正仿宋简体" w:cs="Times New Roman"/>
          <w:b/>
          <w:bCs/>
          <w:sz w:val="32"/>
          <w:szCs w:val="32"/>
          <w:lang w:val="en-US" w:eastAsia="zh-CN"/>
        </w:rPr>
        <w:t>3.3万元/年</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leftChars="0" w:right="0" w:rightChars="0" w:firstLine="643" w:firstLineChars="200"/>
        <w:jc w:val="both"/>
        <w:textAlignment w:val="auto"/>
        <w:outlineLvl w:val="9"/>
        <w:rPr>
          <w:rFonts w:hint="default" w:ascii="Times New Roman" w:hAnsi="Times New Roman" w:eastAsia="方正仿宋简体" w:cs="Times New Roman"/>
          <w:b/>
          <w:bCs/>
          <w:sz w:val="32"/>
          <w:szCs w:val="32"/>
          <w:lang w:val="en-US" w:eastAsia="zh-CN"/>
        </w:rPr>
      </w:pPr>
      <w:r>
        <w:rPr>
          <w:rFonts w:hint="default" w:ascii="Times New Roman" w:hAnsi="Times New Roman" w:eastAsia="黑体" w:cs="Times New Roman"/>
          <w:b/>
          <w:bCs/>
          <w:sz w:val="32"/>
          <w:szCs w:val="32"/>
          <w:vertAlign w:val="baseline"/>
          <w:lang w:val="en-US" w:eastAsia="zh-CN"/>
        </w:rPr>
        <w:t>三、项目服务时间：</w:t>
      </w:r>
      <w:r>
        <w:rPr>
          <w:rFonts w:hint="default" w:ascii="Times New Roman" w:hAnsi="Times New Roman" w:eastAsia="方正仿宋简体" w:cs="Times New Roman"/>
          <w:b/>
          <w:bCs/>
          <w:sz w:val="32"/>
          <w:szCs w:val="32"/>
          <w:lang w:val="en-US" w:eastAsia="zh-CN"/>
        </w:rPr>
        <w:t>3年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default" w:ascii="Times New Roman" w:hAnsi="Times New Roman" w:eastAsia="黑体" w:cs="Times New Roman"/>
          <w:b/>
          <w:bCs/>
          <w:sz w:val="32"/>
          <w:szCs w:val="32"/>
          <w:vertAlign w:val="baseline"/>
          <w:lang w:val="en-US" w:eastAsia="zh-CN"/>
        </w:rPr>
      </w:pPr>
      <w:r>
        <w:rPr>
          <w:rFonts w:hint="default" w:ascii="Times New Roman" w:hAnsi="Times New Roman" w:eastAsia="黑体" w:cs="Times New Roman"/>
          <w:b/>
          <w:bCs/>
          <w:sz w:val="32"/>
          <w:szCs w:val="32"/>
          <w:vertAlign w:val="baseline"/>
          <w:lang w:val="en-US" w:eastAsia="zh-CN"/>
        </w:rPr>
        <w:t>四、项目概况</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仪陇中学新政校区共有电梯9部，设备启用时间2020年9月，至今设备运行良好。</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default" w:ascii="Times New Roman" w:hAnsi="Times New Roman" w:eastAsia="黑体" w:cs="Times New Roman"/>
          <w:b/>
          <w:bCs/>
          <w:sz w:val="32"/>
          <w:szCs w:val="32"/>
          <w:vertAlign w:val="baseline"/>
          <w:lang w:val="en-US" w:eastAsia="zh-CN"/>
        </w:rPr>
      </w:pPr>
      <w:r>
        <w:rPr>
          <w:rFonts w:hint="default" w:ascii="Times New Roman" w:hAnsi="Times New Roman" w:eastAsia="黑体" w:cs="Times New Roman"/>
          <w:b/>
          <w:bCs/>
          <w:sz w:val="32"/>
          <w:szCs w:val="32"/>
          <w:vertAlign w:val="baseline"/>
          <w:lang w:val="en-US" w:eastAsia="zh-CN"/>
        </w:rPr>
        <w:t>五、维修保养服务目标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1.确保电梯运行的安全性和可靠性。</w:t>
      </w:r>
      <w:bookmarkStart w:id="1" w:name="_GoBack"/>
      <w:bookmarkEnd w:id="1"/>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2.延长电梯的使用寿命，降低故障率。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3.提高电梯的运行效率，保障乘客的舒适体验。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黑体" w:cs="Times New Roman"/>
          <w:b/>
          <w:bCs/>
          <w:sz w:val="32"/>
          <w:szCs w:val="32"/>
          <w:vertAlign w:val="baseline"/>
          <w:lang w:val="en-US" w:eastAsia="zh-CN"/>
        </w:rPr>
        <w:t xml:space="preserve">六、维修保养服务内容 </w:t>
      </w:r>
      <w:r>
        <w:rPr>
          <w:rFonts w:hint="default" w:ascii="Times New Roman" w:hAnsi="Times New Roman" w:eastAsia="方正仿宋简体" w:cs="Times New Roman"/>
          <w:b/>
          <w:bCs/>
          <w:sz w:val="32"/>
          <w:szCs w:val="32"/>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1.定期维修保养（详见附表）</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(1)月度保养：每月至少2次（或按合同约定），对电梯进行全面检查、清洁、润滑、调整，确保安全装置有效。</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(2)季度/半年/年度保养：进行更深入的检查和测试，如检查曳引机、控制柜、安全钳、限速器等关键部件。</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2.应急抢修和大型活动保障服务</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(1)24小时值班电话：提供全天候紧急故障响应。</w:t>
      </w:r>
    </w:p>
    <w:p>
      <w:pPr>
        <w:keepNext w:val="0"/>
        <w:keepLines w:val="0"/>
        <w:pageBreakBefore w:val="0"/>
        <w:widowControl w:val="0"/>
        <w:kinsoku/>
        <w:wordWrap/>
        <w:overflowPunct/>
        <w:topLinePunct w:val="0"/>
        <w:autoSpaceDE/>
        <w:autoSpaceDN/>
        <w:bidi w:val="0"/>
        <w:adjustRightInd/>
        <w:snapToGrid/>
        <w:spacing w:line="520" w:lineRule="exact"/>
        <w:ind w:leftChars="0" w:firstLine="320" w:firstLineChars="1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 xml:space="preserve">  (2)响应时间承诺：20分钟必须到达现场。</w:t>
      </w:r>
    </w:p>
    <w:p>
      <w:pPr>
        <w:keepNext w:val="0"/>
        <w:keepLines w:val="0"/>
        <w:pageBreakBefore w:val="0"/>
        <w:widowControl w:val="0"/>
        <w:kinsoku/>
        <w:wordWrap/>
        <w:overflowPunct/>
        <w:topLinePunct w:val="0"/>
        <w:autoSpaceDE/>
        <w:autoSpaceDN/>
        <w:bidi w:val="0"/>
        <w:adjustRightInd/>
        <w:snapToGrid/>
        <w:spacing w:line="520" w:lineRule="exact"/>
        <w:ind w:leftChars="0" w:firstLine="320" w:firstLineChars="1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 xml:space="preserve">  (3)困人救援：优先处理电梯困人事件，承诺最短时间内解救被困人员。</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(4)学校主办和承办的各种大型活动，需要提供电梯使用的保障服务。</w:t>
      </w:r>
    </w:p>
    <w:p>
      <w:pPr>
        <w:keepNext w:val="0"/>
        <w:keepLines w:val="0"/>
        <w:pageBreakBefore w:val="0"/>
        <w:widowControl w:val="0"/>
        <w:kinsoku/>
        <w:wordWrap/>
        <w:overflowPunct/>
        <w:topLinePunct w:val="0"/>
        <w:autoSpaceDE/>
        <w:autoSpaceDN/>
        <w:bidi w:val="0"/>
        <w:adjustRightInd/>
        <w:snapToGrid/>
        <w:spacing w:line="520" w:lineRule="exact"/>
        <w:ind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3.法定检验协助</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负责协助或代表我单位向特种设备检验机构申请年度定期检验，并确保电梯一次通过检验。</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4.维修保养记录与报告</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vertAlign w:val="baseline"/>
          <w:lang w:val="en-US" w:eastAsia="zh-CN"/>
        </w:rPr>
        <w:t xml:space="preserve"> (1)每次维修保养后提供详细的工作记录单，由双方签字确认。</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vertAlign w:val="baseline"/>
          <w:lang w:val="en-US" w:eastAsia="zh-CN"/>
        </w:rPr>
        <w:t xml:space="preserve"> (2)定期（如每季度/每年）提供电梯运行状况分析报告，提出维修或改造建议。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default" w:ascii="Times New Roman" w:hAnsi="Times New Roman" w:eastAsia="黑体" w:cs="Times New Roman"/>
          <w:b/>
          <w:bCs/>
          <w:sz w:val="32"/>
          <w:szCs w:val="32"/>
          <w:vertAlign w:val="baseline"/>
          <w:lang w:val="en-US" w:eastAsia="zh-CN"/>
        </w:rPr>
      </w:pPr>
      <w:r>
        <w:rPr>
          <w:rFonts w:hint="default" w:ascii="Times New Roman" w:hAnsi="Times New Roman" w:eastAsia="黑体" w:cs="Times New Roman"/>
          <w:b/>
          <w:bCs/>
          <w:sz w:val="32"/>
          <w:szCs w:val="32"/>
          <w:vertAlign w:val="baseline"/>
          <w:lang w:val="en-US" w:eastAsia="zh-CN"/>
        </w:rPr>
        <w:t>七、维修保养承诺</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vertAlign w:val="baseline"/>
          <w:lang w:val="en-US" w:eastAsia="zh-CN"/>
        </w:rPr>
      </w:pPr>
      <w:r>
        <w:rPr>
          <w:rFonts w:hint="default" w:ascii="Times New Roman" w:hAnsi="Times New Roman" w:eastAsia="方正仿宋简体" w:cs="Times New Roman"/>
          <w:b/>
          <w:bCs/>
          <w:sz w:val="32"/>
          <w:szCs w:val="32"/>
          <w:lang w:val="en-US" w:eastAsia="zh-CN"/>
        </w:rPr>
        <w:t>承诺</w:t>
      </w:r>
      <w:r>
        <w:rPr>
          <w:rFonts w:hint="default" w:ascii="Times New Roman" w:hAnsi="Times New Roman" w:eastAsia="方正仿宋简体" w:cs="Times New Roman"/>
          <w:b/>
          <w:bCs/>
          <w:sz w:val="32"/>
          <w:szCs w:val="32"/>
        </w:rPr>
        <w:t>内容需</w:t>
      </w:r>
      <w:r>
        <w:rPr>
          <w:rFonts w:hint="default" w:ascii="Times New Roman" w:hAnsi="Times New Roman" w:eastAsia="方正仿宋简体" w:cs="Times New Roman"/>
          <w:b/>
          <w:bCs/>
          <w:sz w:val="32"/>
          <w:szCs w:val="32"/>
          <w:lang w:val="en-US" w:eastAsia="zh-CN"/>
        </w:rPr>
        <w:t>包</w:t>
      </w:r>
      <w:r>
        <w:rPr>
          <w:rFonts w:hint="default" w:ascii="Times New Roman" w:hAnsi="Times New Roman" w:eastAsia="方正仿宋简体" w:cs="Times New Roman"/>
          <w:b/>
          <w:bCs/>
          <w:sz w:val="32"/>
          <w:szCs w:val="32"/>
        </w:rPr>
        <w:t>含</w:t>
      </w:r>
      <w:r>
        <w:rPr>
          <w:rFonts w:hint="default" w:ascii="Times New Roman" w:hAnsi="Times New Roman" w:eastAsia="方正仿宋简体" w:cs="Times New Roman"/>
          <w:b/>
          <w:bCs/>
          <w:sz w:val="32"/>
          <w:szCs w:val="32"/>
          <w:lang w:val="en-US" w:eastAsia="zh-CN"/>
        </w:rPr>
        <w:t>但不限于</w:t>
      </w:r>
      <w:r>
        <w:rPr>
          <w:rFonts w:hint="default" w:ascii="Times New Roman" w:hAnsi="Times New Roman" w:eastAsia="方正仿宋简体" w:cs="Times New Roman"/>
          <w:b/>
          <w:bCs/>
          <w:sz w:val="32"/>
          <w:szCs w:val="32"/>
        </w:rPr>
        <w:t>单个单项零配件免费额度，</w:t>
      </w:r>
      <w:r>
        <w:rPr>
          <w:rFonts w:hint="default" w:ascii="Times New Roman" w:hAnsi="Times New Roman" w:eastAsia="方正仿宋简体" w:cs="Times New Roman"/>
          <w:b/>
          <w:bCs/>
          <w:sz w:val="32"/>
          <w:szCs w:val="32"/>
          <w:lang w:val="en-US" w:eastAsia="zh-CN"/>
        </w:rPr>
        <w:t>维保</w:t>
      </w:r>
      <w:r>
        <w:rPr>
          <w:rFonts w:hint="default" w:ascii="Times New Roman" w:hAnsi="Times New Roman" w:eastAsia="方正仿宋简体" w:cs="Times New Roman"/>
          <w:b/>
          <w:bCs/>
          <w:sz w:val="32"/>
          <w:szCs w:val="32"/>
        </w:rPr>
        <w:t>应急处理响应时间等</w:t>
      </w:r>
      <w:r>
        <w:rPr>
          <w:rFonts w:hint="default" w:ascii="Times New Roman" w:hAnsi="Times New Roman" w:eastAsia="方正仿宋简体" w:cs="Times New Roman"/>
          <w:b/>
          <w:bCs/>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643" w:firstLineChars="200"/>
        <w:textAlignment w:val="auto"/>
        <w:rPr>
          <w:rFonts w:hint="default" w:ascii="Times New Roman" w:hAnsi="Times New Roman" w:eastAsia="黑体" w:cs="Times New Roman"/>
          <w:b/>
          <w:bCs/>
          <w:sz w:val="32"/>
          <w:szCs w:val="32"/>
          <w:vertAlign w:val="baseline"/>
          <w:lang w:val="en-US" w:eastAsia="zh-CN"/>
        </w:rPr>
      </w:pPr>
      <w:r>
        <w:rPr>
          <w:rFonts w:hint="default" w:ascii="Times New Roman" w:hAnsi="Times New Roman" w:eastAsia="黑体" w:cs="Times New Roman"/>
          <w:b/>
          <w:bCs/>
          <w:sz w:val="32"/>
          <w:szCs w:val="32"/>
          <w:vertAlign w:val="baseline"/>
          <w:lang w:val="en-US" w:eastAsia="zh-CN"/>
        </w:rPr>
        <w:t>八、报价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1.本次报价以一年服务时间为单位，故报价为一年服务报价。</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textAlignment w:val="auto"/>
        <w:rPr>
          <w:rFonts w:hint="default" w:ascii="Times New Roman" w:hAnsi="Times New Roman" w:eastAsia="方正仿宋简体" w:cs="Times New Roman"/>
          <w:b/>
          <w:bCs/>
          <w:sz w:val="32"/>
          <w:szCs w:val="32"/>
          <w:lang w:val="en-US" w:eastAsia="zh-CN"/>
        </w:rPr>
      </w:pPr>
      <w:r>
        <w:rPr>
          <w:rFonts w:hint="default" w:ascii="Times New Roman" w:hAnsi="Times New Roman" w:eastAsia="方正仿宋简体" w:cs="Times New Roman"/>
          <w:b/>
          <w:bCs/>
          <w:sz w:val="32"/>
          <w:szCs w:val="32"/>
          <w:lang w:val="en-US" w:eastAsia="zh-CN"/>
        </w:rPr>
        <w:t>2.本次报价为一口价，年度报价需包含一年维修保养服务费、维修保养承诺的单个单项配件免费额度费用和服务期间产生的有法律法规规定的应由乙方支付的一切费用，包含但不限于安全、保险和税费等。</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2"/>
        <w:gridCol w:w="1607"/>
        <w:gridCol w:w="2124"/>
        <w:gridCol w:w="2199"/>
        <w:gridCol w:w="23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产品编号</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规格型号</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品牌名称</w:t>
            </w:r>
          </w:p>
        </w:tc>
        <w:tc>
          <w:tcPr>
            <w:tcW w:w="237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金额（元/年）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XODTD06793</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XO—REZO(MRL)</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杭州西奥电梯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XODTD06794</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XO—REZO(MRL)</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杭州西奥电梯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XODTD06795</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XO—REZO(MRL)</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杭州西奥电梯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XODTD06796</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XO—REZO(MRL)</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杭州西奥电梯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XODTD06797</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XO—REZO(MRL)</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杭州西奥电梯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XODTD06798</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XO—REZO(MRL)</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杭州西奥电梯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HX2020051485</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SPN1600/1.0—VVVF</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浙江华夏电梯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HX2020051486</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SPN1000/1.5—VVVF</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浙江华夏电梯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12"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1607"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HX2020051487</w:t>
            </w:r>
          </w:p>
        </w:tc>
        <w:tc>
          <w:tcPr>
            <w:tcW w:w="2108"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SPN1000/1.5—VVVF</w:t>
            </w:r>
          </w:p>
        </w:tc>
        <w:tc>
          <w:tcPr>
            <w:tcW w:w="2199"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浙江华夏电梯</w:t>
            </w:r>
          </w:p>
        </w:tc>
        <w:tc>
          <w:tcPr>
            <w:tcW w:w="2372" w:type="dxa"/>
          </w:tcPr>
          <w:p>
            <w:pPr>
              <w:numPr>
                <w:ilvl w:val="0"/>
                <w:numId w:val="0"/>
              </w:numPr>
              <w:jc w:val="center"/>
              <w:rPr>
                <w:rFonts w:hint="default" w:ascii="Times New Roman" w:hAnsi="Times New Roman" w:cs="Times New Roman"/>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8998" w:type="dxa"/>
            <w:gridSpan w:val="5"/>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总金额：                         大写：                            元/年</w:t>
            </w:r>
          </w:p>
        </w:tc>
      </w:tr>
    </w:tbl>
    <w:p>
      <w:pPr>
        <w:numPr>
          <w:ilvl w:val="0"/>
          <w:numId w:val="0"/>
        </w:numPr>
        <w:ind w:leftChars="0"/>
        <w:rPr>
          <w:rFonts w:hint="default" w:ascii="Times New Roman" w:hAnsi="Times New Roman" w:cs="Times New Roman"/>
          <w:lang w:val="en-US" w:eastAsia="zh-CN"/>
        </w:rPr>
      </w:pPr>
    </w:p>
    <w:p>
      <w:pPr>
        <w:numPr>
          <w:ilvl w:val="0"/>
          <w:numId w:val="0"/>
        </w:numPr>
        <w:ind w:leftChars="0"/>
        <w:rPr>
          <w:rFonts w:hint="default" w:ascii="Times New Roman" w:hAnsi="Times New Roman" w:cs="Times New Roman"/>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
          <w:bCs/>
          <w:sz w:val="32"/>
          <w:szCs w:val="32"/>
          <w:vertAlign w:val="baseline"/>
          <w:lang w:val="en-US" w:eastAsia="zh-CN"/>
        </w:rPr>
      </w:pPr>
      <w:r>
        <w:rPr>
          <w:rFonts w:hint="default" w:ascii="Times New Roman" w:hAnsi="Times New Roman" w:eastAsia="黑体" w:cs="Times New Roman"/>
          <w:b/>
          <w:bCs/>
          <w:sz w:val="32"/>
          <w:szCs w:val="32"/>
          <w:vertAlign w:val="baseline"/>
          <w:lang w:val="en-US" w:eastAsia="zh-CN"/>
        </w:rPr>
        <w:t>附件：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default" w:ascii="Times New Roman" w:hAnsi="Times New Roman" w:eastAsia="黑体" w:cs="Times New Roman"/>
          <w:b/>
          <w:bCs/>
          <w:sz w:val="32"/>
          <w:szCs w:val="32"/>
          <w:vertAlign w:val="baseline"/>
          <w:lang w:val="en-US" w:eastAsia="zh-CN"/>
        </w:rPr>
      </w:pPr>
      <w:r>
        <w:rPr>
          <w:rFonts w:hint="default" w:ascii="Times New Roman" w:hAnsi="Times New Roman" w:eastAsia="黑体" w:cs="Times New Roman"/>
          <w:b/>
          <w:bCs/>
          <w:sz w:val="32"/>
          <w:szCs w:val="32"/>
          <w:vertAlign w:val="baseline"/>
          <w:lang w:val="en-US" w:eastAsia="zh-CN"/>
        </w:rPr>
        <w:t>《仪陇中学电梯维修保养内容》</w:t>
      </w:r>
    </w:p>
    <w:p>
      <w:pPr>
        <w:numPr>
          <w:ilvl w:val="0"/>
          <w:numId w:val="0"/>
        </w:numPr>
        <w:ind w:leftChars="0"/>
        <w:rPr>
          <w:rFonts w:hint="default" w:ascii="Times New Roman" w:hAnsi="Times New Roman" w:cs="Times New Roman"/>
          <w:lang w:val="en-US" w:eastAsia="zh-CN"/>
        </w:rPr>
      </w:pPr>
    </w:p>
    <w:p>
      <w:pPr>
        <w:numPr>
          <w:ilvl w:val="0"/>
          <w:numId w:val="0"/>
        </w:numPr>
        <w:ind w:leftChars="0" w:firstLine="3162" w:firstLineChars="1500"/>
        <w:rPr>
          <w:rFonts w:hint="default" w:ascii="Times New Roman" w:hAnsi="Times New Roman" w:cs="Times New Roman"/>
        </w:rPr>
      </w:pPr>
      <w:r>
        <w:rPr>
          <w:rFonts w:hint="default" w:ascii="Times New Roman" w:hAnsi="Times New Roman" w:cs="Times New Roman"/>
          <w:b/>
          <w:bCs/>
          <w:lang w:val="en-US" w:eastAsia="zh-CN"/>
        </w:rPr>
        <w:t>1</w:t>
      </w:r>
      <w:r>
        <w:rPr>
          <w:rFonts w:hint="eastAsia" w:ascii="Times New Roman" w:hAnsi="Times New Roman" w:cs="Times New Roman"/>
          <w:b/>
          <w:bCs/>
          <w:lang w:val="en-US" w:eastAsia="zh-CN"/>
        </w:rPr>
        <w:t>.</w:t>
      </w:r>
      <w:r>
        <w:rPr>
          <w:rFonts w:hint="default" w:ascii="Times New Roman" w:hAnsi="Times New Roman" w:cs="Times New Roman"/>
          <w:b/>
          <w:bCs/>
          <w:lang w:val="en-US" w:eastAsia="zh-CN"/>
        </w:rPr>
        <w:t>半月维保项目</w:t>
      </w:r>
    </w:p>
    <w:p>
      <w:pPr>
        <w:rPr>
          <w:rFonts w:hint="default" w:ascii="Times New Roman" w:hAnsi="Times New Roman" w:cs="Times New Roma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940"/>
        <w:gridCol w:w="6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jc w:val="cente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序号</w:t>
            </w:r>
          </w:p>
        </w:tc>
        <w:tc>
          <w:tcPr>
            <w:tcW w:w="608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restart"/>
          </w:tcPr>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vertAlign w:val="baseline"/>
                <w:lang w:val="en-US" w:eastAsia="zh-CN"/>
              </w:rPr>
            </w:pPr>
          </w:p>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半月项</w:t>
            </w: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机房</w:t>
            </w:r>
            <w:r>
              <w:rPr>
                <w:rFonts w:hint="default" w:ascii="Times New Roman" w:hAnsi="Times New Roman" w:cs="Times New Roman"/>
                <w:vertAlign w:val="baseline"/>
                <w:lang w:eastAsia="zh-CN"/>
              </w:rPr>
              <w:t>、</w:t>
            </w:r>
            <w:r>
              <w:rPr>
                <w:rFonts w:hint="default" w:ascii="Times New Roman" w:hAnsi="Times New Roman" w:cs="Times New Roman"/>
                <w:vertAlign w:val="baseline"/>
              </w:rPr>
              <w:t>滑轮间环境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手动紧急操作装置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驱动主机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4</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制动器各销轴部位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5</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制动器间隙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6</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制动器作为</w:t>
            </w:r>
            <w:r>
              <w:rPr>
                <w:rFonts w:hint="default" w:ascii="Times New Roman" w:hAnsi="Times New Roman" w:cs="Times New Roman"/>
                <w:vertAlign w:val="baseline"/>
                <w:lang w:val="en-US" w:eastAsia="zh-CN"/>
              </w:rPr>
              <w:t>轿</w:t>
            </w:r>
            <w:r>
              <w:rPr>
                <w:rFonts w:hint="default" w:ascii="Times New Roman" w:hAnsi="Times New Roman" w:cs="Times New Roman"/>
                <w:vertAlign w:val="baseline"/>
              </w:rPr>
              <w:t>用意外移动保护装置</w:t>
            </w:r>
            <w:r>
              <w:rPr>
                <w:rFonts w:hint="default" w:ascii="Times New Roman" w:hAnsi="Times New Roman" w:cs="Times New Roman"/>
                <w:vertAlign w:val="baseline"/>
                <w:lang w:val="en-US" w:eastAsia="zh-CN"/>
              </w:rPr>
              <w:t>制</w:t>
            </w:r>
            <w:r>
              <w:rPr>
                <w:rFonts w:hint="default" w:ascii="Times New Roman" w:hAnsi="Times New Roman" w:cs="Times New Roman"/>
                <w:vertAlign w:val="baseline"/>
              </w:rPr>
              <w:t>停</w:t>
            </w:r>
            <w:r>
              <w:rPr>
                <w:rFonts w:hint="default" w:ascii="Times New Roman" w:hAnsi="Times New Roman" w:cs="Times New Roman"/>
                <w:vertAlign w:val="baseline"/>
                <w:lang w:val="en-US" w:eastAsia="zh-CN"/>
              </w:rPr>
              <w:t>子</w:t>
            </w:r>
            <w:r>
              <w:rPr>
                <w:rFonts w:hint="default" w:ascii="Times New Roman" w:hAnsi="Times New Roman" w:cs="Times New Roman"/>
                <w:vertAlign w:val="baseline"/>
              </w:rPr>
              <w:t>系统时的自监测。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7</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编码器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8</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限速器各销轴部位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9</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层门与轿门旁路装置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10</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紧急电动运行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11</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12</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轿顶检修开关、停止装置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13</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导靴上油环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14</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对重/平衡重及其压板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15</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井道照明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16</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轿厢照明、风扇、应急照明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17</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轿厢检修开关、停止装置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18</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轿内报警装置、对讲系统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19</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轿内显示、指令按钮、IC卡系统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20</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轿门放撞击保护装置（安全触板/光幕/光电等）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21</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轿门门锁电电器触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22</w:t>
            </w:r>
          </w:p>
        </w:tc>
        <w:tc>
          <w:tcPr>
            <w:tcW w:w="6080" w:type="dxa"/>
          </w:tcPr>
          <w:p>
            <w:pPr>
              <w:rPr>
                <w:rFonts w:hint="default" w:ascii="Times New Roman" w:hAnsi="Times New Roman" w:cs="Times New Roman"/>
                <w:vertAlign w:val="baseline"/>
              </w:rPr>
            </w:pPr>
            <w:r>
              <w:rPr>
                <w:rFonts w:hint="default" w:ascii="Times New Roman" w:hAnsi="Times New Roman" w:cs="Times New Roman"/>
                <w:vertAlign w:val="baseline"/>
              </w:rPr>
              <w:t>轿门运行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23</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轿厢平层精度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24</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层站召唤、层楼显示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25</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层门地坎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26</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层门自动关门装置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27</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层门门锁自动复位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28</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层门门锁电气触点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29</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层门锁紧元件啮合长度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30</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底坑环境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31</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底坑停止装置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32</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机房温度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rPr>
                <w:rFonts w:hint="default" w:ascii="Times New Roman" w:hAnsi="Times New Roman" w:cs="Times New Roman"/>
                <w:vertAlign w:val="baseline"/>
              </w:rPr>
            </w:pPr>
          </w:p>
        </w:tc>
        <w:tc>
          <w:tcPr>
            <w:tcW w:w="940" w:type="dxa"/>
          </w:tcPr>
          <w:p>
            <w:pPr>
              <w:jc w:val="cente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33</w:t>
            </w:r>
          </w:p>
        </w:tc>
        <w:tc>
          <w:tcPr>
            <w:tcW w:w="6080" w:type="dxa"/>
          </w:tcPr>
          <w:p>
            <w:pPr>
              <w:rPr>
                <w:rFonts w:hint="default" w:ascii="Times New Roman" w:hAnsi="Times New Roman" w:cs="Times New Roman" w:eastAsiaTheme="minorEastAsia"/>
                <w:vertAlign w:val="baseline"/>
                <w:lang w:val="en-US" w:eastAsia="zh-CN"/>
              </w:rPr>
            </w:pPr>
            <w:r>
              <w:rPr>
                <w:rFonts w:hint="default" w:ascii="Times New Roman" w:hAnsi="Times New Roman" w:cs="Times New Roman"/>
                <w:vertAlign w:val="baseline"/>
                <w:lang w:val="en-US" w:eastAsia="zh-CN"/>
              </w:rPr>
              <w:t>标志标识</w:t>
            </w:r>
          </w:p>
        </w:tc>
      </w:tr>
    </w:tbl>
    <w:p>
      <w:pPr>
        <w:rPr>
          <w:rFonts w:hint="default" w:ascii="Times New Roman" w:hAnsi="Times New Roman" w:cs="Times New Roman"/>
        </w:rPr>
      </w:pPr>
    </w:p>
    <w:p>
      <w:pPr>
        <w:numPr>
          <w:ilvl w:val="0"/>
          <w:numId w:val="0"/>
        </w:numPr>
        <w:ind w:firstLine="2741" w:firstLineChars="1300"/>
        <w:rPr>
          <w:rFonts w:hint="default" w:ascii="Times New Roman" w:hAnsi="Times New Roman" w:cs="Times New Roman"/>
          <w:b/>
          <w:bCs/>
          <w:lang w:val="en-US" w:eastAsia="zh-CN"/>
        </w:rPr>
      </w:pPr>
      <w:r>
        <w:rPr>
          <w:rFonts w:hint="default" w:ascii="Times New Roman" w:hAnsi="Times New Roman" w:cs="Times New Roman"/>
          <w:b/>
          <w:bCs/>
          <w:lang w:val="en-US" w:eastAsia="zh-CN"/>
        </w:rPr>
        <w:t>2</w:t>
      </w:r>
      <w:r>
        <w:rPr>
          <w:rFonts w:hint="eastAsia" w:ascii="Times New Roman" w:hAnsi="Times New Roman" w:cs="Times New Roman"/>
          <w:b/>
          <w:bCs/>
          <w:lang w:val="en-US" w:eastAsia="zh-CN"/>
        </w:rPr>
        <w:t>.</w:t>
      </w:r>
      <w:r>
        <w:rPr>
          <w:rFonts w:hint="default" w:ascii="Times New Roman" w:hAnsi="Times New Roman" w:cs="Times New Roman"/>
          <w:b/>
          <w:bCs/>
          <w:lang w:val="en-US" w:eastAsia="zh-CN"/>
        </w:rPr>
        <w:t>季度维保项目</w:t>
      </w: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0"/>
        <w:gridCol w:w="92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61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restart"/>
          </w:tcPr>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季度项</w:t>
            </w: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减速机润滑油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制动衬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位置脉冲发生器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选层器动静触点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曳引轮槽、曳引钢丝绳（曳引带）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限速器轮槽、限速器钢丝绳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靴衬、滚轮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验证轿门关闭的电气安全装置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层门、轿门系统中传动钢丝绳、链条、胶带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层门门导靴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消防开关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耗能缓冲器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0" w:type="dxa"/>
            <w:vMerge w:val="continue"/>
          </w:tcPr>
          <w:p>
            <w:pPr>
              <w:numPr>
                <w:ilvl w:val="0"/>
                <w:numId w:val="0"/>
              </w:numPr>
              <w:rPr>
                <w:rFonts w:hint="default" w:ascii="Times New Roman" w:hAnsi="Times New Roman" w:cs="Times New Roman"/>
                <w:vertAlign w:val="baseline"/>
                <w:lang w:val="en-US" w:eastAsia="zh-CN"/>
              </w:rPr>
            </w:pPr>
          </w:p>
        </w:tc>
        <w:tc>
          <w:tcPr>
            <w:tcW w:w="9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w:t>
            </w:r>
          </w:p>
        </w:tc>
        <w:tc>
          <w:tcPr>
            <w:tcW w:w="6120" w:type="dxa"/>
          </w:tcPr>
          <w:p>
            <w:pPr>
              <w:numPr>
                <w:ilvl w:val="0"/>
                <w:numId w:val="0"/>
              </w:numPr>
              <w:jc w:val="both"/>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限速器张紧轮装置和电气安全装置</w:t>
            </w:r>
          </w:p>
        </w:tc>
      </w:tr>
    </w:tbl>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p>
      <w:pPr>
        <w:numPr>
          <w:ilvl w:val="0"/>
          <w:numId w:val="0"/>
        </w:numPr>
        <w:ind w:left="2835" w:leftChars="0" w:firstLine="211" w:firstLineChars="100"/>
        <w:rPr>
          <w:rFonts w:hint="default" w:ascii="Times New Roman" w:hAnsi="Times New Roman" w:cs="Times New Roman"/>
          <w:b/>
          <w:bCs/>
          <w:lang w:val="en-US" w:eastAsia="zh-CN"/>
        </w:rPr>
      </w:pPr>
      <w:r>
        <w:rPr>
          <w:rFonts w:hint="default" w:ascii="Times New Roman" w:hAnsi="Times New Roman" w:cs="Times New Roman"/>
          <w:b/>
          <w:bCs/>
          <w:lang w:val="en-US" w:eastAsia="zh-CN"/>
        </w:rPr>
        <w:t>3</w:t>
      </w:r>
      <w:r>
        <w:rPr>
          <w:rFonts w:hint="eastAsia" w:ascii="Times New Roman" w:hAnsi="Times New Roman" w:cs="Times New Roman"/>
          <w:b/>
          <w:bCs/>
          <w:lang w:val="en-US" w:eastAsia="zh-CN"/>
        </w:rPr>
        <w:t>.</w:t>
      </w:r>
      <w:r>
        <w:rPr>
          <w:rFonts w:hint="default" w:ascii="Times New Roman" w:hAnsi="Times New Roman" w:cs="Times New Roman"/>
          <w:b/>
          <w:bCs/>
          <w:lang w:val="en-US" w:eastAsia="zh-CN"/>
        </w:rPr>
        <w:t>半年维保项目</w:t>
      </w:r>
    </w:p>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930"/>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612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restart"/>
          </w:tcPr>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半年项</w:t>
            </w: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电动机与减速轮联轴器螺栓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曳引轮、导向轮轴承部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曳引轮槽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制动器动作状态检测装置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控制柜各接线端子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控制柜各仪表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井道、对重、轿顶各反绳轮轴承部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悬挂装置、补偿绳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绳头组合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限速器钢丝绳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层门、轿门门窗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轿门开门限制装置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对重缓存距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补偿链（绳）与轿厢、对重结合处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w:t>
            </w:r>
          </w:p>
        </w:tc>
        <w:tc>
          <w:tcPr>
            <w:tcW w:w="612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上下极限开关</w:t>
            </w:r>
          </w:p>
        </w:tc>
      </w:tr>
    </w:tbl>
    <w:p>
      <w:pPr>
        <w:numPr>
          <w:ilvl w:val="0"/>
          <w:numId w:val="0"/>
        </w:numPr>
        <w:rPr>
          <w:rFonts w:hint="default" w:ascii="Times New Roman" w:hAnsi="Times New Roman" w:cs="Times New Roman"/>
          <w:lang w:val="en-US" w:eastAsia="zh-CN"/>
        </w:rPr>
      </w:pPr>
    </w:p>
    <w:p>
      <w:pPr>
        <w:numPr>
          <w:ilvl w:val="0"/>
          <w:numId w:val="0"/>
        </w:numPr>
        <w:rPr>
          <w:rFonts w:hint="default" w:ascii="Times New Roman" w:hAnsi="Times New Roman" w:cs="Times New Roman"/>
          <w:lang w:val="en-US" w:eastAsia="zh-CN"/>
        </w:rPr>
      </w:pPr>
    </w:p>
    <w:p>
      <w:pPr>
        <w:numPr>
          <w:ilvl w:val="0"/>
          <w:numId w:val="0"/>
        </w:numPr>
        <w:ind w:left="2835" w:leftChars="0" w:firstLine="211" w:firstLineChars="100"/>
        <w:rPr>
          <w:rFonts w:hint="default" w:ascii="Times New Roman" w:hAnsi="Times New Roman" w:cs="Times New Roman"/>
          <w:b/>
          <w:bCs/>
          <w:lang w:val="en-US" w:eastAsia="zh-CN"/>
        </w:rPr>
      </w:pPr>
      <w:r>
        <w:rPr>
          <w:rFonts w:hint="default" w:ascii="Times New Roman" w:hAnsi="Times New Roman" w:cs="Times New Roman"/>
          <w:b/>
          <w:bCs/>
          <w:lang w:val="en-US" w:eastAsia="zh-CN"/>
        </w:rPr>
        <w:t>4</w:t>
      </w:r>
      <w:r>
        <w:rPr>
          <w:rFonts w:hint="eastAsia" w:ascii="Times New Roman" w:hAnsi="Times New Roman" w:cs="Times New Roman"/>
          <w:b/>
          <w:bCs/>
          <w:lang w:val="en-US" w:eastAsia="zh-CN"/>
        </w:rPr>
        <w:t>.</w:t>
      </w:r>
      <w:r>
        <w:rPr>
          <w:rFonts w:hint="default" w:ascii="Times New Roman" w:hAnsi="Times New Roman" w:cs="Times New Roman"/>
          <w:b/>
          <w:bCs/>
          <w:lang w:val="en-US" w:eastAsia="zh-CN"/>
        </w:rPr>
        <w:t>年度维保项目</w:t>
      </w:r>
    </w:p>
    <w:p>
      <w:pPr>
        <w:numPr>
          <w:ilvl w:val="0"/>
          <w:numId w:val="0"/>
        </w:numPr>
        <w:rPr>
          <w:rFonts w:hint="default" w:ascii="Times New Roman" w:hAnsi="Times New Roman" w:cs="Times New Roman"/>
          <w:b/>
          <w:bCs/>
          <w:lang w:val="en-US" w:eastAsia="zh-CN"/>
        </w:rPr>
      </w:pPr>
    </w:p>
    <w:p>
      <w:pPr>
        <w:numPr>
          <w:ilvl w:val="0"/>
          <w:numId w:val="0"/>
        </w:numPr>
        <w:rPr>
          <w:rFonts w:hint="default" w:ascii="Times New Roman" w:hAnsi="Times New Roman" w:cs="Times New Roman"/>
          <w:lang w:val="en-US" w:eastAsia="zh-CN"/>
        </w:rPr>
      </w:pP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0"/>
        <w:gridCol w:w="930"/>
        <w:gridCol w:w="6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序号</w:t>
            </w:r>
          </w:p>
        </w:tc>
        <w:tc>
          <w:tcPr>
            <w:tcW w:w="609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年度维保项目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restart"/>
          </w:tcPr>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p>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年度项</w:t>
            </w: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减速机润滑油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2</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控制柜接触器、继电器触点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3</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制动器铁芯（柱塞）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4</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制动器制动能力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5</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导电回路绝缘性能测试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6</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限速器安全钳联动试验（对于使用年限不超过15年的限速器，每2年进行一次限速器动作速度校检；对于使用年限超过15年的限速器，每年进行一次限速器动作速度校验）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7</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上行超速保护装置动作试验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8</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轿厢意外移动保护装置动作试验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9</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轿顶、轿厢架、轿门及其附件安装螺栓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10</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轿厢和对重的导轨支架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11</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轿厢和对重的导轨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12</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随行电缆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13</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层门装置和地坎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14</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轿厢称重装置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15</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安全钳钳座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16</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轿底各安装螺栓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70" w:type="dxa"/>
            <w:vMerge w:val="continue"/>
          </w:tcPr>
          <w:p>
            <w:pPr>
              <w:numPr>
                <w:ilvl w:val="0"/>
                <w:numId w:val="0"/>
              </w:numPr>
              <w:rPr>
                <w:rFonts w:hint="default" w:ascii="Times New Roman" w:hAnsi="Times New Roman" w:cs="Times New Roman"/>
                <w:vertAlign w:val="baseline"/>
                <w:lang w:val="en-US" w:eastAsia="zh-CN"/>
              </w:rPr>
            </w:pPr>
          </w:p>
        </w:tc>
        <w:tc>
          <w:tcPr>
            <w:tcW w:w="930" w:type="dxa"/>
          </w:tcPr>
          <w:p>
            <w:pPr>
              <w:numPr>
                <w:ilvl w:val="0"/>
                <w:numId w:val="0"/>
              </w:numPr>
              <w:jc w:val="cente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17</w:t>
            </w:r>
          </w:p>
        </w:tc>
        <w:tc>
          <w:tcPr>
            <w:tcW w:w="6090" w:type="dxa"/>
          </w:tcPr>
          <w:p>
            <w:pPr>
              <w:numPr>
                <w:ilvl w:val="0"/>
                <w:numId w:val="0"/>
              </w:numPr>
              <w:rPr>
                <w:rFonts w:hint="default" w:ascii="Times New Roman" w:hAnsi="Times New Roman" w:cs="Times New Roman"/>
                <w:vertAlign w:val="baseline"/>
                <w:lang w:val="en-US" w:eastAsia="zh-CN"/>
              </w:rPr>
            </w:pPr>
            <w:r>
              <w:rPr>
                <w:rFonts w:hint="default" w:ascii="Times New Roman" w:hAnsi="Times New Roman" w:cs="Times New Roman"/>
                <w:vertAlign w:val="baseline"/>
                <w:lang w:val="en-US" w:eastAsia="zh-CN"/>
              </w:rPr>
              <w:t>缓冲器</w:t>
            </w:r>
          </w:p>
        </w:tc>
      </w:tr>
    </w:tbl>
    <w:p>
      <w:pPr>
        <w:numPr>
          <w:ilvl w:val="0"/>
          <w:numId w:val="0"/>
        </w:numPr>
        <w:rPr>
          <w:rFonts w:hint="default" w:ascii="Times New Roman" w:hAnsi="Times New Roman" w:cs="Times New Roman"/>
          <w:lang w:val="en-US" w:eastAsia="zh-CN"/>
        </w:rPr>
      </w:pPr>
    </w:p>
    <w:sectPr>
      <w:pgSz w:w="11906" w:h="16838"/>
      <w:pgMar w:top="1984" w:right="1474" w:bottom="198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80374"/>
    <w:rsid w:val="084F7D6C"/>
    <w:rsid w:val="096133B5"/>
    <w:rsid w:val="09F41C86"/>
    <w:rsid w:val="0C3628D7"/>
    <w:rsid w:val="0CB25FD5"/>
    <w:rsid w:val="0E1C5AFD"/>
    <w:rsid w:val="0ED14B39"/>
    <w:rsid w:val="0F890F70"/>
    <w:rsid w:val="106A68B8"/>
    <w:rsid w:val="10D65A52"/>
    <w:rsid w:val="11390774"/>
    <w:rsid w:val="11D1776D"/>
    <w:rsid w:val="133406A5"/>
    <w:rsid w:val="14B922F8"/>
    <w:rsid w:val="19D63004"/>
    <w:rsid w:val="1CFA16FF"/>
    <w:rsid w:val="1F4149E1"/>
    <w:rsid w:val="202A1834"/>
    <w:rsid w:val="22131538"/>
    <w:rsid w:val="22805AE6"/>
    <w:rsid w:val="24D61CD0"/>
    <w:rsid w:val="25974AD6"/>
    <w:rsid w:val="25E63B74"/>
    <w:rsid w:val="27AF30E6"/>
    <w:rsid w:val="296879F1"/>
    <w:rsid w:val="2CA927FA"/>
    <w:rsid w:val="2F692293"/>
    <w:rsid w:val="2FEC3129"/>
    <w:rsid w:val="30616EBD"/>
    <w:rsid w:val="31796C3F"/>
    <w:rsid w:val="34E66BA3"/>
    <w:rsid w:val="350C7936"/>
    <w:rsid w:val="3BE70C49"/>
    <w:rsid w:val="3D4C63F5"/>
    <w:rsid w:val="3DDD0B69"/>
    <w:rsid w:val="3E1A70B4"/>
    <w:rsid w:val="436A4639"/>
    <w:rsid w:val="468B42A3"/>
    <w:rsid w:val="472E597E"/>
    <w:rsid w:val="48C42E23"/>
    <w:rsid w:val="4CC1587A"/>
    <w:rsid w:val="4E142D15"/>
    <w:rsid w:val="51922560"/>
    <w:rsid w:val="527E40BE"/>
    <w:rsid w:val="567E00FD"/>
    <w:rsid w:val="57A224B0"/>
    <w:rsid w:val="59407EBE"/>
    <w:rsid w:val="659A31DF"/>
    <w:rsid w:val="67AF574F"/>
    <w:rsid w:val="67DA3AF2"/>
    <w:rsid w:val="68867B1A"/>
    <w:rsid w:val="69EE1271"/>
    <w:rsid w:val="6AD74A00"/>
    <w:rsid w:val="6D3D3585"/>
    <w:rsid w:val="6D772CA2"/>
    <w:rsid w:val="6EB30F38"/>
    <w:rsid w:val="6FAF6411"/>
    <w:rsid w:val="71493F73"/>
    <w:rsid w:val="71E74F23"/>
    <w:rsid w:val="72A20E4A"/>
    <w:rsid w:val="72BF37AA"/>
    <w:rsid w:val="7315786E"/>
    <w:rsid w:val="73161CEF"/>
    <w:rsid w:val="79112886"/>
    <w:rsid w:val="7A8377B3"/>
    <w:rsid w:val="7CAC3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801</Words>
  <Characters>1005</Characters>
  <Lines>0</Lines>
  <Paragraphs>0</Paragraphs>
  <TotalTime>8</TotalTime>
  <ScaleCrop>false</ScaleCrop>
  <LinksUpToDate>false</LinksUpToDate>
  <CharactersWithSpaces>1054</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CQ</dc:creator>
  <cp:lastModifiedBy>CXY</cp:lastModifiedBy>
  <dcterms:modified xsi:type="dcterms:W3CDTF">2025-10-22T07:51:37Z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eyJoZGlkIjoiMjA3MDA2ZGE0MTZkOTAzNmUyOTI0MjEyNzQzNTY1YzMiLCJ1c2VySWQiOiI0NjAyODIxMDYifQ==</vt:lpwstr>
  </property>
  <property fmtid="{D5CDD505-2E9C-101B-9397-08002B2CF9AE}" pid="4" name="ICV">
    <vt:lpwstr>6D738FD10F3C4CEBAFA90AC8432968A9</vt:lpwstr>
  </property>
</Properties>
</file>